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1D468D" w:rsidRDefault="007D6576" w:rsidP="00B51A86">
      <w:pPr>
        <w:pStyle w:val="a4"/>
        <w:tabs>
          <w:tab w:val="right" w:pos="10490"/>
        </w:tabs>
        <w:kinsoku w:val="0"/>
        <w:overflowPunct w:val="0"/>
        <w:spacing w:line="360" w:lineRule="auto"/>
        <w:ind w:left="1197" w:firstLine="0"/>
        <w:rPr>
          <w:rFonts w:ascii="Arial" w:hAnsi="Arial" w:cs="Arial"/>
          <w:b/>
          <w:bCs/>
          <w:sz w:val="22"/>
          <w:szCs w:val="24"/>
        </w:rPr>
      </w:pPr>
      <w:bookmarkStart w:id="0" w:name="_GoBack"/>
      <w:bookmarkEnd w:id="0"/>
      <w:r w:rsidRPr="001D468D">
        <w:rPr>
          <w:rFonts w:ascii="Arial" w:hAnsi="Arial" w:cs="Arial"/>
          <w:b/>
          <w:bCs/>
          <w:sz w:val="22"/>
          <w:szCs w:val="24"/>
        </w:rPr>
        <w:t>Формы Сообщений, направляемых Клиентом с использованием Электронной Брокерской Системы</w:t>
      </w:r>
      <w:r w:rsidR="003258EE" w:rsidRPr="001D468D">
        <w:rPr>
          <w:rFonts w:ascii="Arial" w:hAnsi="Arial" w:cs="Arial"/>
          <w:b/>
          <w:bCs/>
          <w:sz w:val="22"/>
          <w:szCs w:val="24"/>
        </w:rPr>
        <w:tab/>
      </w:r>
    </w:p>
    <w:p w:rsidR="003258EE" w:rsidRPr="001D468D" w:rsidRDefault="003258EE" w:rsidP="00B51A86">
      <w:pPr>
        <w:pStyle w:val="BD10"/>
        <w:numPr>
          <w:ilvl w:val="0"/>
          <w:numId w:val="0"/>
        </w:numPr>
        <w:spacing w:line="360" w:lineRule="auto"/>
        <w:ind w:left="1134"/>
        <w:rPr>
          <w:rFonts w:ascii="Arial" w:hAnsi="Arial" w:cs="Arial"/>
          <w:sz w:val="22"/>
        </w:rPr>
      </w:pPr>
    </w:p>
    <w:p w:rsidR="00626759" w:rsidRPr="001D468D" w:rsidRDefault="00626759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</w:t>
      </w:r>
      <w:r w:rsidR="00881766" w:rsidRPr="001D468D">
        <w:rPr>
          <w:rFonts w:ascii="Arial" w:hAnsi="Arial" w:cs="Arial"/>
          <w:sz w:val="22"/>
        </w:rPr>
        <w:t xml:space="preserve">электронном Сообщении, полученном Брокером через Систему ТРЕЙДЕРНЕТ в </w:t>
      </w:r>
      <w:r w:rsidRPr="001D468D">
        <w:rPr>
          <w:rFonts w:ascii="Arial" w:hAnsi="Arial" w:cs="Arial"/>
          <w:sz w:val="22"/>
        </w:rPr>
        <w:t>поле с кодом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 Отдельного логина, присвоенного Клиенту, означает, что Сообщение направлено Клиентом;</w:t>
      </w:r>
      <w:r w:rsidR="00881766" w:rsidRPr="001D468D">
        <w:rPr>
          <w:rFonts w:ascii="Arial" w:hAnsi="Arial" w:cs="Arial"/>
          <w:sz w:val="22"/>
        </w:rPr>
        <w:t xml:space="preserve"> </w:t>
      </w:r>
    </w:p>
    <w:p w:rsidR="00626759" w:rsidRPr="001D468D" w:rsidRDefault="00626759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Указание в поле, имеющего код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1D468D">
        <w:rPr>
          <w:rFonts w:ascii="Arial" w:hAnsi="Arial" w:cs="Arial"/>
          <w:sz w:val="22"/>
        </w:rPr>
        <w:t>clientid</w:t>
      </w:r>
      <w:proofErr w:type="spellEnd"/>
      <w:r w:rsidRPr="001D468D">
        <w:rPr>
          <w:rFonts w:ascii="Arial" w:hAnsi="Arial" w:cs="Arial"/>
          <w:sz w:val="22"/>
        </w:rPr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1D468D" w:rsidRDefault="00626759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Анкета </w:t>
      </w:r>
      <w:r w:rsidR="00B82B26">
        <w:rPr>
          <w:rFonts w:ascii="Arial" w:hAnsi="Arial" w:cs="Arial"/>
          <w:sz w:val="22"/>
        </w:rPr>
        <w:t xml:space="preserve">физического лица </w:t>
      </w:r>
      <w:r w:rsidRPr="001D468D">
        <w:rPr>
          <w:rFonts w:ascii="Arial" w:hAnsi="Arial" w:cs="Arial"/>
          <w:sz w:val="22"/>
        </w:rPr>
        <w:t xml:space="preserve">/Поручение на изменение </w:t>
      </w:r>
      <w:r w:rsidR="00524582">
        <w:rPr>
          <w:rFonts w:ascii="Arial" w:hAnsi="Arial" w:cs="Arial"/>
          <w:sz w:val="22"/>
        </w:rPr>
        <w:t>сведений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personal_contacts</w:t>
      </w:r>
    </w:p>
    <w:tbl>
      <w:tblPr>
        <w:tblW w:w="102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7658"/>
      </w:tblGrid>
      <w:tr w:rsidR="00DF23CB" w:rsidRPr="001D468D" w:rsidTr="001D468D">
        <w:trPr>
          <w:trHeight w:val="198"/>
        </w:trPr>
        <w:tc>
          <w:tcPr>
            <w:tcW w:w="2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U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F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Фамилия (измененная)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I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Имя (измененное)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O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Отчество (измененное)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lastRenderedPageBreak/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рождения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место рождения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адрес курьерской доставки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гражданство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почтового адреса Клиента</w:t>
            </w:r>
          </w:p>
        </w:tc>
      </w:tr>
      <w:tr w:rsidR="00DF23CB" w:rsidRPr="001D468D" w:rsidTr="001D468D">
        <w:trPr>
          <w:trHeight w:val="206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Тарифа Брокера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account_tariff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1D468D" w:rsidTr="001D468D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назначаемого Тарифа Брокера, например: [Базовый]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Стандартный от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оборота]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Пониженный от оборота]/[Фиксированный]/[Личный брокер], и другие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Клиента на совершение сделки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пролог документа.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6"/>
        <w:gridCol w:w="8198"/>
      </w:tblGrid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Client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1D468D" w:rsidTr="001D468D">
        <w:trPr>
          <w:trHeight w:val="62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185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Тип Поручения Клиента. Принимает следующие значения: 1 – Рыночный Приказ (Market); 2 – Приказ по заданной цене (Limit); 3 – Рыночный Стоп-приказ (Stop); 4 – Стоп-приказ по заданной цене (Stop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Limit)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Покупка (при совершении Сделок с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Маржой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Margin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Продажа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); 4 – Продажа (при совершении Сделок </w:t>
            </w:r>
            <w:r w:rsidR="003F0115" w:rsidRPr="001D468D">
              <w:rPr>
                <w:rFonts w:ascii="Arial" w:hAnsi="Arial" w:cs="Arial"/>
                <w:sz w:val="20"/>
                <w:szCs w:val="22"/>
              </w:rPr>
              <w:t>с неполным покрытием</w:t>
            </w:r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="003B6089"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B6089" w:rsidRPr="001D468D">
              <w:rPr>
                <w:rFonts w:ascii="Arial" w:hAnsi="Arial" w:cs="Arial"/>
                <w:sz w:val="20"/>
                <w:szCs w:val="22"/>
                <w:lang w:val="en-US"/>
              </w:rPr>
              <w:t>Short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валюта Поручения по ISO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Количество Ценных Бумаг в штуках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торговой сессии»; 2 – Приказ «день/ночь или ночь/день»; 3 – «Открытое Поручение Клиента»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Стоп-цена Поручения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Цена Поручения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137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Для Поручения типа Стоп-лосс: 1 — следящий Стоп-лосс, 0 — обычный Стоп-лосс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Поручения Клиента на совершение сделки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proofErr w:type="spellStart"/>
      <w:r w:rsidRPr="001D468D">
        <w:rPr>
          <w:rFonts w:ascii="Arial" w:hAnsi="Arial" w:cs="Arial"/>
          <w:sz w:val="22"/>
          <w:szCs w:val="24"/>
        </w:rPr>
        <w:t>Cообщение</w:t>
      </w:r>
      <w:proofErr w:type="spellEnd"/>
      <w:r w:rsidRPr="001D468D">
        <w:rPr>
          <w:rFonts w:ascii="Arial" w:hAnsi="Arial" w:cs="Arial"/>
          <w:sz w:val="22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 xml:space="preserve">пролог 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xml</w:t>
      </w:r>
      <w:proofErr w:type="spellEnd"/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документа.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 на отмену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lastRenderedPageBreak/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1D468D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Client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Приказ Клиента</w:t>
            </w:r>
          </w:p>
        </w:tc>
      </w:tr>
      <w:tr w:rsidR="00DF23CB" w:rsidRPr="001D468D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форме; 3 – В письменной форме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Client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отменяемое Неторговое Поручение Клиента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395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форме.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регистрацию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Публичный ключ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отключение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Идентификатор пользователя Электронной Брокерской Системы, </w:t>
            </w:r>
            <w:r w:rsidRPr="001D468D">
              <w:rPr>
                <w:rFonts w:ascii="Arial" w:hAnsi="Arial" w:cs="Arial"/>
                <w:sz w:val="22"/>
              </w:rPr>
              <w:lastRenderedPageBreak/>
              <w:t>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Всегда «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»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Запросы и пожелания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Содержание Сообщения Клиента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отзыв Денежных средств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Сумма вывода в рублях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срочность вывода [не срочный]/[срочный]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реквизиты вывода: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main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основные реквизиты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дополнительные реквизиты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nal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через Кассу в офисе Брокера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банковские реквизиты в зависимости от поля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Получатель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ИНН получателя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счета получателя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Местонахождение банка (город)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БИК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корр. счета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Назначение платежа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о предоставлении документов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запрашиваемого Клиентом документа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Период, за который Клиентом запрашивается документ</w:t>
            </w:r>
          </w:p>
        </w:tc>
      </w:tr>
      <w:tr w:rsidR="00DF23CB" w:rsidRPr="001D468D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257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доставки документа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отправить на электронный адрес 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post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Выслать заказным письмом на почтовый адрес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в офисе Брокера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Осуществить курьерскую доставку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электронного адреса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адрес электронной почты Клиента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Телефонного номера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используемый Брокером для направления Клиенту одноразовых SMS </w:t>
            </w:r>
            <w:r w:rsidRPr="001D468D">
              <w:rPr>
                <w:rFonts w:ascii="Arial" w:hAnsi="Arial" w:cs="Arial"/>
                <w:sz w:val="22"/>
              </w:rPr>
              <w:lastRenderedPageBreak/>
              <w:t>паролей)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изменение Паролей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Торговый пароль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Голосовой пароль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блокировку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security_account_block</w:t>
      </w:r>
      <w:proofErr w:type="spellEnd"/>
    </w:p>
    <w:tbl>
      <w:tblPr>
        <w:tblW w:w="10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4E32B3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4E32B3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4E32B3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4E32B3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1D468D" w:rsidTr="004E32B3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пароля</w:t>
            </w:r>
          </w:p>
        </w:tc>
      </w:tr>
      <w:tr w:rsidR="00DF23CB" w:rsidRPr="001D468D" w:rsidTr="004E32B3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совершение операций с Ценными Бумагами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операции по переводу ценных бумаг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depositing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]=Зачисление на счет в депозитарии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withdrawal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]= Списание со счета в </w:t>
            </w:r>
            <w:r w:rsidRPr="001D468D">
              <w:rPr>
                <w:rFonts w:ascii="Arial" w:hAnsi="Arial" w:cs="Arial"/>
                <w:sz w:val="22"/>
              </w:rPr>
              <w:lastRenderedPageBreak/>
              <w:t>депозитарии [NT]= Перевод внутри депозитария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Количество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</w:t>
            </w:r>
            <w:r w:rsidR="00DF23CB" w:rsidRPr="001D468D">
              <w:rPr>
                <w:rFonts w:ascii="Arial" w:hAnsi="Arial" w:cs="Arial"/>
                <w:sz w:val="22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сделки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расчёта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участие в корпоративном действии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color w:val="FFFFFF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корпоративного действия: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3269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buyout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участие в выкупе ценных бумаг;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prerogative_right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реализация преимущественного права;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shareholders_voting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ISIN Ценной Бумаги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финансового инструмента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Дополнительная информация</w:t>
            </w:r>
          </w:p>
        </w:tc>
      </w:tr>
    </w:tbl>
    <w:p w:rsidR="00DF23CB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Заявление </w:t>
      </w:r>
      <w:r w:rsidRPr="00B51A86">
        <w:rPr>
          <w:rFonts w:ascii="Arial" w:hAnsi="Arial" w:cs="Arial"/>
          <w:sz w:val="22"/>
        </w:rPr>
        <w:t>Клиента</w:t>
      </w:r>
      <w:r>
        <w:rPr>
          <w:rFonts w:ascii="ArialMT" w:hAnsi="ArialMT" w:cs="ArialMT"/>
        </w:rPr>
        <w:t xml:space="preserve"> – физического лица на признание его квалифицированным</w:t>
      </w:r>
    </w:p>
    <w:p w:rsidR="00B51A86" w:rsidRPr="001D468D" w:rsidRDefault="00B51A86" w:rsidP="00B51A86">
      <w:pPr>
        <w:pStyle w:val="BD11"/>
        <w:numPr>
          <w:ilvl w:val="0"/>
          <w:numId w:val="0"/>
        </w:numPr>
        <w:spacing w:before="0"/>
        <w:rPr>
          <w:rFonts w:ascii="Arial" w:hAnsi="Arial" w:cs="Arial"/>
          <w:sz w:val="22"/>
        </w:rPr>
      </w:pPr>
      <w:r>
        <w:rPr>
          <w:rFonts w:ascii="ArialMT" w:hAnsi="ArialMT" w:cs="ArialMT"/>
        </w:rPr>
        <w:t>инвестором</w:t>
      </w:r>
    </w:p>
    <w:tbl>
      <w:tblPr>
        <w:tblW w:w="1022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B82B26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B82B26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B82B26">
        <w:trPr>
          <w:trHeight w:val="7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qualified_investor_on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1254FB"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– запрос на признание квалифицированным инвестором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is_enough_finance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</w:t>
            </w:r>
            <w:r w:rsidRPr="001254FB">
              <w:rPr>
                <w:rFonts w:ascii="Arial" w:hAnsi="Arial" w:cs="Arial"/>
                <w:sz w:val="20"/>
                <w:szCs w:val="22"/>
              </w:rPr>
              <w:t>аличи</w:t>
            </w:r>
            <w:r>
              <w:rPr>
                <w:rFonts w:ascii="Arial" w:hAnsi="Arial" w:cs="Arial"/>
                <w:sz w:val="20"/>
                <w:szCs w:val="22"/>
              </w:rPr>
              <w:t>е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оборотов и активов по Брокерскому счету</w:t>
            </w:r>
            <w:r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in_full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—</w:t>
            </w:r>
            <w:r>
              <w:rPr>
                <w:rFonts w:ascii="Arial" w:hAnsi="Arial" w:cs="Arial"/>
                <w:sz w:val="20"/>
                <w:szCs w:val="22"/>
              </w:rPr>
              <w:t xml:space="preserve"> В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полном объёме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partly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— Ч</w:t>
            </w:r>
            <w:r w:rsidRPr="001254FB">
              <w:rPr>
                <w:rFonts w:ascii="Arial" w:hAnsi="Arial" w:cs="Arial"/>
                <w:sz w:val="20"/>
                <w:szCs w:val="22"/>
              </w:rPr>
              <w:t>астично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no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— </w:t>
            </w:r>
            <w:r w:rsidRPr="001254FB">
              <w:rPr>
                <w:rFonts w:ascii="Arial" w:hAnsi="Arial" w:cs="Arial"/>
                <w:sz w:val="20"/>
                <w:szCs w:val="22"/>
              </w:rPr>
              <w:t>Не имею</w:t>
            </w:r>
            <w:r>
              <w:rPr>
                <w:rFonts w:ascii="Arial" w:hAnsi="Arial" w:cs="Arial"/>
                <w:sz w:val="20"/>
                <w:szCs w:val="22"/>
              </w:rPr>
              <w:t>.</w:t>
            </w:r>
          </w:p>
        </w:tc>
      </w:tr>
      <w:tr w:rsidR="00B51A86" w:rsidRPr="001D468D" w:rsidTr="00B82B26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7547D2">
              <w:rPr>
                <w:rFonts w:ascii="Arial" w:hAnsi="Arial" w:cs="Arial"/>
                <w:sz w:val="20"/>
                <w:szCs w:val="22"/>
              </w:rPr>
              <w:t>assets_enough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активов</w:t>
            </w:r>
            <w:r w:rsidRPr="007547D2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D50453">
              <w:rPr>
                <w:rFonts w:ascii="Arial" w:hAnsi="Arial" w:cs="Arial"/>
                <w:sz w:val="20"/>
                <w:szCs w:val="22"/>
              </w:rPr>
              <w:t>experience_enough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Наличие требуемого опыта работы.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EC5C22">
              <w:rPr>
                <w:rFonts w:ascii="Arial" w:hAnsi="Arial" w:cs="Arial"/>
                <w:sz w:val="20"/>
                <w:szCs w:val="22"/>
              </w:rPr>
              <w:t>trades_enough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торговых оборотов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0A2E7F">
              <w:rPr>
                <w:rFonts w:ascii="Arial" w:hAnsi="Arial" w:cs="Arial"/>
                <w:sz w:val="20"/>
                <w:szCs w:val="22"/>
              </w:rPr>
              <w:t>own_funds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требуемого и</w:t>
            </w:r>
            <w:r w:rsidRPr="000A2E7F">
              <w:rPr>
                <w:rFonts w:ascii="Arial" w:hAnsi="Arial" w:cs="Arial"/>
                <w:sz w:val="20"/>
                <w:szCs w:val="22"/>
              </w:rPr>
              <w:t>муществ</w:t>
            </w:r>
            <w:r>
              <w:rPr>
                <w:rFonts w:ascii="Arial" w:hAnsi="Arial" w:cs="Arial"/>
                <w:sz w:val="20"/>
                <w:szCs w:val="22"/>
              </w:rPr>
              <w:t>а.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50453">
              <w:rPr>
                <w:rFonts w:ascii="Arial" w:hAnsi="Arial" w:cs="Arial"/>
                <w:sz w:val="20"/>
                <w:szCs w:val="22"/>
              </w:rPr>
              <w:lastRenderedPageBreak/>
              <w:t xml:space="preserve">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04A54">
              <w:rPr>
                <w:rFonts w:ascii="Arial" w:hAnsi="Arial" w:cs="Arial"/>
                <w:sz w:val="20"/>
                <w:szCs w:val="22"/>
              </w:rPr>
              <w:lastRenderedPageBreak/>
              <w:t>education_enough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5509C9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Наличие требуемого образования / профессиональных сертификатов. П</w:t>
            </w:r>
            <w:r w:rsidRPr="001D468D">
              <w:rPr>
                <w:rFonts w:ascii="Arial" w:hAnsi="Arial" w:cs="Arial"/>
                <w:sz w:val="20"/>
                <w:szCs w:val="22"/>
              </w:rPr>
              <w:t>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B7501A">
              <w:rPr>
                <w:rFonts w:ascii="Arial" w:hAnsi="Arial" w:cs="Arial"/>
                <w:sz w:val="20"/>
                <w:szCs w:val="22"/>
              </w:rPr>
              <w:t>risk_agree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Ознакомление с повышенными рисками, отсутствием компенсаций.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B7501A">
              <w:rPr>
                <w:rFonts w:ascii="Arial" w:hAnsi="Arial" w:cs="Arial"/>
                <w:sz w:val="20"/>
                <w:szCs w:val="22"/>
              </w:rPr>
              <w:t>risk_agree2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Согласие уведомить о несоблюдении требований.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</w:tbl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Заявление </w:t>
      </w:r>
      <w:r w:rsidRPr="00B51A86">
        <w:rPr>
          <w:rFonts w:ascii="Arial" w:hAnsi="Arial" w:cs="Arial"/>
          <w:sz w:val="22"/>
        </w:rPr>
        <w:t>Клиента</w:t>
      </w:r>
      <w:r>
        <w:rPr>
          <w:rFonts w:ascii="ArialMT" w:hAnsi="ArialMT" w:cs="ArialMT"/>
        </w:rPr>
        <w:t xml:space="preserve"> – юридического лица на признание его квалифицированным</w:t>
      </w:r>
    </w:p>
    <w:p w:rsidR="00B51A86" w:rsidRPr="001D468D" w:rsidRDefault="00B51A86" w:rsidP="00B51A86">
      <w:pPr>
        <w:pStyle w:val="BD11"/>
        <w:numPr>
          <w:ilvl w:val="0"/>
          <w:numId w:val="0"/>
        </w:numPr>
        <w:spacing w:before="0"/>
        <w:rPr>
          <w:rFonts w:ascii="Arial" w:hAnsi="Arial" w:cs="Arial"/>
          <w:sz w:val="22"/>
        </w:rPr>
      </w:pPr>
      <w:r>
        <w:rPr>
          <w:rFonts w:ascii="ArialMT" w:hAnsi="ArialMT" w:cs="ArialMT"/>
        </w:rPr>
        <w:t>инвестором</w:t>
      </w:r>
    </w:p>
    <w:tbl>
      <w:tblPr>
        <w:tblW w:w="1022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B82B26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B82B26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EE7BC5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EE7BC5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B82B26">
        <w:trPr>
          <w:trHeight w:val="19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qualified_investor_on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1254FB"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– запрос на признание квалифицированным инвестором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is_enough_finance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</w:t>
            </w:r>
            <w:r w:rsidRPr="001254FB">
              <w:rPr>
                <w:rFonts w:ascii="Arial" w:hAnsi="Arial" w:cs="Arial"/>
                <w:sz w:val="20"/>
                <w:szCs w:val="22"/>
              </w:rPr>
              <w:t>аличи</w:t>
            </w:r>
            <w:r>
              <w:rPr>
                <w:rFonts w:ascii="Arial" w:hAnsi="Arial" w:cs="Arial"/>
                <w:sz w:val="20"/>
                <w:szCs w:val="22"/>
              </w:rPr>
              <w:t>е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оборотов по Брокерскому счету</w:t>
            </w:r>
            <w:r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in_full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—</w:t>
            </w:r>
            <w:r>
              <w:rPr>
                <w:rFonts w:ascii="Arial" w:hAnsi="Arial" w:cs="Arial"/>
                <w:sz w:val="20"/>
                <w:szCs w:val="22"/>
              </w:rPr>
              <w:t xml:space="preserve"> В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полном объёме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partly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— Ч</w:t>
            </w:r>
            <w:r w:rsidRPr="001254FB">
              <w:rPr>
                <w:rFonts w:ascii="Arial" w:hAnsi="Arial" w:cs="Arial"/>
                <w:sz w:val="20"/>
                <w:szCs w:val="22"/>
              </w:rPr>
              <w:t>астично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no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— </w:t>
            </w:r>
            <w:r w:rsidRPr="001254FB">
              <w:rPr>
                <w:rFonts w:ascii="Arial" w:hAnsi="Arial" w:cs="Arial"/>
                <w:sz w:val="20"/>
                <w:szCs w:val="22"/>
              </w:rPr>
              <w:t>Не име</w:t>
            </w:r>
            <w:r>
              <w:rPr>
                <w:rFonts w:ascii="Arial" w:hAnsi="Arial" w:cs="Arial"/>
                <w:sz w:val="20"/>
                <w:szCs w:val="22"/>
              </w:rPr>
              <w:t>ем</w:t>
            </w:r>
          </w:p>
        </w:tc>
      </w:tr>
      <w:tr w:rsidR="00B51A86" w:rsidRPr="001D468D" w:rsidTr="00B82B26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7547D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7547D2">
              <w:rPr>
                <w:rFonts w:ascii="Arial" w:hAnsi="Arial" w:cs="Arial"/>
                <w:sz w:val="20"/>
                <w:szCs w:val="22"/>
              </w:rPr>
              <w:t>assets_enough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n-US"/>
              </w:rPr>
              <w:t>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7547D2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активов</w:t>
            </w:r>
            <w:r w:rsidRPr="007547D2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C5C22">
              <w:rPr>
                <w:rFonts w:ascii="Arial" w:hAnsi="Arial" w:cs="Arial"/>
                <w:sz w:val="20"/>
                <w:szCs w:val="22"/>
              </w:rPr>
              <w:t>trades_enough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n-US"/>
              </w:rPr>
              <w:t>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торговых оборотов</w:t>
            </w:r>
            <w:r w:rsidRPr="00EC5C22">
              <w:rPr>
                <w:rFonts w:ascii="Arial" w:hAnsi="Arial" w:cs="Arial"/>
                <w:sz w:val="20"/>
                <w:szCs w:val="22"/>
              </w:rPr>
              <w:t>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020629">
              <w:rPr>
                <w:rFonts w:ascii="Arial" w:hAnsi="Arial" w:cs="Arial"/>
                <w:sz w:val="20"/>
                <w:szCs w:val="22"/>
              </w:rPr>
              <w:t>revenue_ur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требуемой выручки</w:t>
            </w:r>
            <w:r w:rsidRPr="00020629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1482F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B7501A">
              <w:rPr>
                <w:rFonts w:ascii="Arial" w:hAnsi="Arial" w:cs="Arial"/>
                <w:sz w:val="20"/>
                <w:szCs w:val="22"/>
              </w:rPr>
              <w:t>risk_agree_ur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Ознакомление с повышенными рисками.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B7501A">
              <w:rPr>
                <w:rFonts w:ascii="Arial" w:hAnsi="Arial" w:cs="Arial"/>
                <w:sz w:val="20"/>
                <w:szCs w:val="22"/>
              </w:rPr>
              <w:t>risk_agree2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Согласие уведомить о несоблюдении требований.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</w:tbl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Pr="001D468D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ind w:left="1077"/>
        <w:rPr>
          <w:rFonts w:ascii="ArialMT" w:hAnsi="ArialMT" w:cs="ArialMT"/>
        </w:rPr>
      </w:pPr>
      <w:r>
        <w:rPr>
          <w:rFonts w:ascii="ArialMT" w:hAnsi="ArialMT" w:cs="ArialMT"/>
        </w:rPr>
        <w:t>Заявление Клиента об отказе от статуса квалифицированного инвестора</w:t>
      </w:r>
    </w:p>
    <w:tbl>
      <w:tblPr>
        <w:tblW w:w="10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B82B26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B82B26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B82B26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0"/>
              </w:rPr>
              <w:t>qualified_investor_off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254FB">
              <w:rPr>
                <w:rFonts w:ascii="Arial" w:hAnsi="Arial" w:cs="Arial"/>
                <w:sz w:val="20"/>
                <w:szCs w:val="20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0"/>
              </w:rPr>
              <w:t xml:space="preserve"> – запрос на исключение из реестра квалифицированных инвесторов.</w:t>
            </w:r>
          </w:p>
        </w:tc>
      </w:tr>
    </w:tbl>
    <w:p w:rsidR="00B51A86" w:rsidRPr="00C85162" w:rsidRDefault="00B51A86" w:rsidP="00B51A86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24"/>
        </w:rPr>
      </w:pPr>
    </w:p>
    <w:p w:rsidR="00B51A86" w:rsidRDefault="00B51A86" w:rsidP="00B51A86">
      <w:pPr>
        <w:pStyle w:val="BD11"/>
        <w:numPr>
          <w:ilvl w:val="0"/>
          <w:numId w:val="0"/>
        </w:numPr>
        <w:spacing w:before="0"/>
        <w:ind w:left="1080"/>
        <w:rPr>
          <w:rFonts w:ascii="Arial" w:hAnsi="Arial" w:cs="Arial"/>
          <w:sz w:val="22"/>
        </w:rPr>
      </w:pPr>
    </w:p>
    <w:p w:rsidR="00DF23CB" w:rsidRPr="001D468D" w:rsidRDefault="00DF23CB" w:rsidP="00B51A86">
      <w:pPr>
        <w:pStyle w:val="BD11"/>
        <w:spacing w:before="0"/>
        <w:ind w:left="1077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расторжение Договоров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Причина расторжения договоров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Pr="001D468D" w:rsidRDefault="009B164C" w:rsidP="00B51A86">
      <w:pPr>
        <w:spacing w:line="360" w:lineRule="auto"/>
        <w:rPr>
          <w:rFonts w:ascii="Arial" w:hAnsi="Arial" w:cs="Arial"/>
          <w:szCs w:val="24"/>
        </w:rPr>
      </w:pPr>
    </w:p>
    <w:p w:rsidR="00B812F9" w:rsidRPr="001D468D" w:rsidRDefault="00B812F9" w:rsidP="00B51A86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24"/>
        </w:rPr>
      </w:pPr>
    </w:p>
    <w:sectPr w:rsidR="00B812F9" w:rsidRPr="001D468D" w:rsidSect="001D468D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B26" w:rsidRDefault="00B82B26" w:rsidP="00B47F77">
      <w:r>
        <w:separator/>
      </w:r>
    </w:p>
  </w:endnote>
  <w:endnote w:type="continuationSeparator" w:id="0">
    <w:p w:rsidR="00B82B26" w:rsidRDefault="00B82B26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B26" w:rsidRDefault="00B82B26" w:rsidP="00B47F77">
      <w:r>
        <w:separator/>
      </w:r>
    </w:p>
  </w:footnote>
  <w:footnote w:type="continuationSeparator" w:id="0">
    <w:p w:rsidR="00B82B26" w:rsidRDefault="00B82B26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B82B26" w:rsidRPr="00B47F77" w:rsidTr="00DF23CB">
      <w:tc>
        <w:tcPr>
          <w:tcW w:w="2518" w:type="dxa"/>
        </w:tcPr>
        <w:p w:rsidR="00B82B26" w:rsidRPr="00B47F77" w:rsidRDefault="00B82B26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B82B26" w:rsidRPr="001D468D" w:rsidRDefault="00B82B26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>Приложение №9 к Регламенту обслуживания Клиентов ООО ИК «Фридом Финанс» О ИК «Фридом Финанс» Формы Сообщений, направляемых Клиентом с использованием Электронной Брокерской Системы</w:t>
          </w:r>
        </w:p>
      </w:tc>
    </w:tr>
  </w:tbl>
  <w:p w:rsidR="00B82B26" w:rsidRPr="00B47F77" w:rsidRDefault="00B82B26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D468D"/>
    <w:rsid w:val="00233AEC"/>
    <w:rsid w:val="002E6981"/>
    <w:rsid w:val="003258EE"/>
    <w:rsid w:val="003615F4"/>
    <w:rsid w:val="003B0C6A"/>
    <w:rsid w:val="003B6089"/>
    <w:rsid w:val="003B6D70"/>
    <w:rsid w:val="003F0115"/>
    <w:rsid w:val="004B706D"/>
    <w:rsid w:val="004E32B3"/>
    <w:rsid w:val="00524582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A93B3F"/>
    <w:rsid w:val="00B03885"/>
    <w:rsid w:val="00B47F23"/>
    <w:rsid w:val="00B47F77"/>
    <w:rsid w:val="00B508FE"/>
    <w:rsid w:val="00B51A86"/>
    <w:rsid w:val="00B812F9"/>
    <w:rsid w:val="00B82B26"/>
    <w:rsid w:val="00C3380A"/>
    <w:rsid w:val="00C37A8C"/>
    <w:rsid w:val="00C63B4D"/>
    <w:rsid w:val="00C73B50"/>
    <w:rsid w:val="00C92F9C"/>
    <w:rsid w:val="00D67FF3"/>
    <w:rsid w:val="00D83A04"/>
    <w:rsid w:val="00DF23CB"/>
    <w:rsid w:val="00E07A14"/>
    <w:rsid w:val="00EF1ABA"/>
    <w:rsid w:val="00F9037C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1"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  <w:style w:type="paragraph" w:styleId="af1">
    <w:name w:val="Revision"/>
    <w:hidden/>
    <w:uiPriority w:val="99"/>
    <w:semiHidden/>
    <w:rsid w:val="00D83A04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13</cp:revision>
  <dcterms:created xsi:type="dcterms:W3CDTF">2018-05-18T11:14:00Z</dcterms:created>
  <dcterms:modified xsi:type="dcterms:W3CDTF">2021-09-28T16:36:00Z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